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4E0F" w14:textId="39FF3B5F" w:rsidR="001632AF" w:rsidRPr="008A47CC" w:rsidRDefault="008A47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A47CC">
        <w:rPr>
          <w:rFonts w:ascii="Times New Roman" w:hAnsi="Times New Roman" w:cs="Times New Roman"/>
          <w:sz w:val="32"/>
          <w:szCs w:val="32"/>
          <w:lang w:val="kk-KZ"/>
        </w:rPr>
        <w:t xml:space="preserve">6 Дәріс </w:t>
      </w:r>
      <w:bookmarkStart w:id="0" w:name="_Hlk146127777"/>
      <w:r w:rsidRPr="008A47CC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 ұйымдастыру</w:t>
      </w:r>
      <w:bookmarkEnd w:id="0"/>
    </w:p>
    <w:p w14:paraId="72232243" w14:textId="4B599A34" w:rsidR="00CD5A08" w:rsidRDefault="008A47CC">
      <w:pPr>
        <w:rPr>
          <w:lang w:val="ru-RU"/>
        </w:rPr>
      </w:pPr>
      <w:proofErr w:type="spellStart"/>
      <w:r>
        <w:rPr>
          <w:lang w:val="ru-RU"/>
        </w:rPr>
        <w:t>Сұрақтар</w:t>
      </w:r>
      <w:proofErr w:type="spellEnd"/>
      <w:r>
        <w:rPr>
          <w:lang w:val="ru-RU"/>
        </w:rPr>
        <w:t>:</w:t>
      </w:r>
    </w:p>
    <w:p w14:paraId="3690E6AD" w14:textId="6C7774C7" w:rsidR="008A47CC" w:rsidRPr="008A47CC" w:rsidRDefault="008A47CC" w:rsidP="008A47CC">
      <w:pPr>
        <w:pStyle w:val="a3"/>
        <w:numPr>
          <w:ilvl w:val="0"/>
          <w:numId w:val="2"/>
        </w:numPr>
        <w:rPr>
          <w:lang w:val="ru-RU"/>
        </w:rPr>
      </w:pPr>
      <w:r w:rsidRPr="008A47CC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 ұйымдастыру</w:t>
      </w:r>
    </w:p>
    <w:p w14:paraId="36770F71" w14:textId="2838A6A7" w:rsidR="008A47CC" w:rsidRPr="008A47CC" w:rsidRDefault="008A47CC" w:rsidP="008A47CC">
      <w:pPr>
        <w:pStyle w:val="a3"/>
        <w:numPr>
          <w:ilvl w:val="0"/>
          <w:numId w:val="2"/>
        </w:numPr>
        <w:rPr>
          <w:lang w:val="ru-RU"/>
        </w:rPr>
      </w:pPr>
      <w:r w:rsidRPr="008A47CC">
        <w:rPr>
          <w:rFonts w:ascii="Times New Roman" w:hAnsi="Times New Roman" w:cs="Times New Roman"/>
          <w:sz w:val="32"/>
          <w:szCs w:val="32"/>
          <w:lang w:val="kk-KZ"/>
        </w:rPr>
        <w:t>Адам ресурстарын басқаруды жоспарлауды</w:t>
      </w:r>
      <w:r>
        <w:rPr>
          <w:rFonts w:ascii="Times New Roman" w:hAnsi="Times New Roman" w:cs="Times New Roman"/>
          <w:sz w:val="32"/>
          <w:szCs w:val="32"/>
          <w:lang w:val="kk-KZ"/>
        </w:rPr>
        <w:t>ң тиімділігі</w:t>
      </w:r>
    </w:p>
    <w:p w14:paraId="4CD2013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863D0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Кез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бар,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ретінді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E0146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E7B8B9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қойылған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жетуде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нәтижелерге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қызметкердің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топтың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өнімділігіне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ықпал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үздіксіз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A7B17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51161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кіші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коммуникациялар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жиынтығынан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C9A96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75AD7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менеджерлерден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дирекциядан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Ол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әкімшілік-басқарушылық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аппарат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бөліктің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шешімдер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қабылданады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8C818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52D77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айналысатын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20B09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23922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3ABDC5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33078C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нәтижені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болжау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954FB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2003F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ұйымдвстыру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44BE1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3D94B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оңтайлы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режимде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ұстау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бұйрықтар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беру;</w:t>
      </w:r>
    </w:p>
    <w:p w14:paraId="187FA6F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364F0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831AA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A1972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нормаларын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нормаларды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шаралады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431DA3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8D384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B52D3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94C25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ХХ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ғасырдың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Файольмен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тұжырымдалған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F06D4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9C34F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A81C0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490D64" w14:textId="15BAF27C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</w:p>
    <w:p w14:paraId="07939A1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48BE36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5A018A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DF5D0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жету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күштерін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біріктіру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90151A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A73C2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топтары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қарым-қатынастарды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әрекеттесуді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BB89F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A9CFB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жинау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өңдеу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9224F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A0621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DF975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BEE5E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кадрларды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(мотивация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жанжалды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жағдайлармен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күрес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топтары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4860F2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00355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көліссөздер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маркетингтік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жарнамалық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0B333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5B8419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инновациялық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B9D0D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8DC54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шешімдердің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орындалуын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шарттарының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өзгерісіне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түзету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8D5E59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0D6655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сәттілігі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сәтсіздігі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көбінесе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кадр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құрамына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ұжым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мінез-құлқына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ынтымақтастығына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шиеленісуіне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тұрақтылығы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көбінесе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кадрлардың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саналығына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белсенділігіне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факторларына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тәуелді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әдістеріне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қанағаттандыру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әділеттілік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шегінде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тұжырымдалған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FB9CD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BDC2B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әдістеріне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0E2FC8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EFECD6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персоналдың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еңбегін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ұйымдастыруды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ұнатпайды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атаққұмарлық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ықылас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еңбегін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тыным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таппай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істеу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сендіру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қабілетіне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өктемшіл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1A42F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876B5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сезімі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күшті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дамыған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потенциалы бар,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ықыласы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қызметкерлерге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әдепті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биязы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демократиялық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2F087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644E6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келесіге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ұжымда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қойған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жеткізілген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үміттері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ақталған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мұнай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тапсырмаларды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хабарлап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отыруы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26201CA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8F83A1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мүдделерін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қанағаттандыру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жолымен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ынталандыруға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D85A4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80BD67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Әділеттілік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әріптестеріне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сәйкестендіре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мадақтауды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субъективті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күтуіне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Теория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басшыдан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жұмысшыларға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үңіле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назарын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ескеруді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2F856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1E532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5.3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құрылымдары</w:t>
      </w:r>
      <w:proofErr w:type="spellEnd"/>
    </w:p>
    <w:p w14:paraId="3969E88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0B1EB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лауазымдар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құрамы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A66D3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3B8677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сатыларымен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66189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C978C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бөлек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бөлігін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жиынтығын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орындайтын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түсінігіне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жатқызады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2C093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6989F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сатысы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деңгейіндегі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жиынтығы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DEE1E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8C7F6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Департаменттеу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жекелеу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облыстарға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бөлімдерге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секторларға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01811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C333C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(департамент)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коммуникациялар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A6A8B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A2861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құқылы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кооперация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келістіру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әдетте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бірдеңгейлі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әрекеттесуіне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FFCB0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81C596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субординациялық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жарғылық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есептік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арналары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9EB57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A5338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сұрақтардың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тобы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биліктік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өкілеттіктерді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B7C2C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B901C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юасқарудың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шегінде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кеңесші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ұсыныстық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шешімдердің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қозғалыс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84DCF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51DF51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ескереді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950CC9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BC4ECF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микро-, мезо-,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макродеңгейлерін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CC4414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08664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  1)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миркодеңгей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қатысушыларының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топтары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48A1C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4713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  2)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мезодеңгей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салыстырмалы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автономды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филиалдар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7C29465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7C6A3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  3)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макродеңгей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бүтін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мультиұйымдар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министрлік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комитет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7E04C96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8B052E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ә)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құрамы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айқындалады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қолдаушы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6A69E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6C820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уақыттық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кеңістіктік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пішінмен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етілуі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тексеріледі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C6181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39735C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кіретін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F7AE3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E395C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қабаттары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бейнесі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7F4C6C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47BC7F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ғ)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бөліктерінің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тиімділік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стандарттар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эталондар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процедуралар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көрсеткіштері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тұжырымдалады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B2531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2ACB2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сипаттамаларының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ескеру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керек: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көлемі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күрделілік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дифференциация,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ресімдеу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әкімшілік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компонент, бюрократизация,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билік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дәстүрлік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пішін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C0BF0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C6C84C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көлемі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істейтін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қызметкерлердің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(ал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кейде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құрал-жабдықтар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құндылықтар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көлемімен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өлшенеді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2E59B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34039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Әкімшілік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персоналдың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менеджерлері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штабтың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қызметкерлері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клерктер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7A905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E006DA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лауазымдар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міндеттемелерді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қоса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еңбекті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7BE99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9BD808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Дифференциация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бөліктерге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бөліктерінің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саны)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саны).</w:t>
      </w:r>
    </w:p>
    <w:p w14:paraId="35F79A5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E8243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бірлескен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қатысу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көрсеткіші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нысандары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Мұнын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күрделілігін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C319F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C70E0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Стандарттау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өткізілетін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танылған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ережелермен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әрдайым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процедуралардың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субъектілер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объектілер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пәндері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мұндай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Ережелер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неғұрлым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стандарттау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соғұрлым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72672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BEC34F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Дәстүрлік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құжатта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жазылмаған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реттелген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ережелердің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B97E0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A242A7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Ресімдеу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құжаттарда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нұсқаулықтарда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ережелердің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жазылуы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7D9D8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11016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артықшылық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біреуі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айналасында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шоғырлануын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>білдіреді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Билік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орталықтануы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6FE9E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6DAED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Пішін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элементтер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кеңістіктік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уақыттық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реттілігін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DA53F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D3F1F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тобын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F746D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66387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механикалық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бюрократиялық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классикалық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дәстүрлі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биліктің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иерархиясымен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ережелер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процедураларының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ресімдеуімен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орталықтандырылған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тар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сипатталынады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921A0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FE749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органикалық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айқынсыздығымен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билік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икемділігімен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процедураларды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ережелерді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әлсіз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орталықсыздандырумен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CB6EB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64371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типтегі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A2D6C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A15A30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қарапайым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иерархия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төменнен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1CE3A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55F42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84536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97FC0E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қарапайымдылығы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айқындығы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19144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E2B82B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41A22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EF6BAE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қабылдаудағы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жеделдік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6D697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72E40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келісімдігі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A1A6A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82EF3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Кемшіліктері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A1F102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4BC855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жүктелуі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ағыны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шектес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қатынастардың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көптігі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54044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5347E3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DBECB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13DF7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өзгеріп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отыратын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шарттармен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ескерілген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бермейді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700B8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762DB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төменгі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топтарда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бригадаларда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кәсіпорындардың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бастапқы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кезеңінде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C4241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AA8533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тән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әрбіреуі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міндеттемелеріне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органы,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C01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B30AA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FAC74A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03BED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құзыреттілігі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BC792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8162A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қайталауды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B1859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45DE5A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Кемшіліктері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408A5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09094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бұзылуы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B6779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167A3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процедурасы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5AE60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737327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қиындықтары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97171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5D480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жауапкершілігінің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төмендеуі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A15F1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8C96BF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жоғарыдан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бұйрықтар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нұсқаулардың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қайталануы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келіспеушілігі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40AE2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655DC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сызықтық-штабтық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жанында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штабтық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құқығына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рационалды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нұсқаларын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іздеуден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бағыныштыларға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CAF50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26082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сақталады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мүдделеріне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бағыттау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144D8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EF5A8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Сызықтық-функуционалдық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типтің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таралған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бүкіл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әлемде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кеңінен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төменгі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буындарға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өздері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бұйрық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сұрақтар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мамандануымен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сұрақтардың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шектеулі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тобы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71049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CB333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мамандануынан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(маркетинг,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қаржы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экономика, персонал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.),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шахталық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Шахталық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қосалқы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жоғарыдан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төменге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шахтасы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қалыптасады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78643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7A9D51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сызықтық-функционалдық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кемшіліктерінің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шөлмектің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мойыны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әсері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тәсіл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шегінде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көбінесе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дамуы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басшысына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көтереді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Нәтижесінде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стратегиялық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шоғырлану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оперативтік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күнделікті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істе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батады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60D34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95672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сызықтық-функционалдық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аппараты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қайталанатын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сирек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функцияларды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аса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стандартты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A2939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004D49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иерархиялық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типтің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табылады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Оны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көлемінің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өсуі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технологиялық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күрделенуі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диверсификациясы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интернационализациясы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өзгерісі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5C48F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68411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оперативтік-өндірістік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дербестікті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автономдық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өндірістік-шаруашылық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деңгейлерін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94DD0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6F023B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(дивизион)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өткізуге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жүктеледі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96287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C9A93E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27D8E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B82E2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жүргізіледі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CF055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0C30B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шығарылатын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ерекшеліктерін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ескерумен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FB5EE8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18C187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тұтынушыға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бағытталуға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93774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252D34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E8027E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88A6D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типі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бар:</w:t>
      </w:r>
    </w:p>
    <w:p w14:paraId="46751D4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F04BB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дивизионалдық-өнімдік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94693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E9456D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тұтынушыға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D542D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72E55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дивизионалдық-аймақтық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D3FD6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AD8CB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Дивизионалдық-өнімдік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өкілеттік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FB638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26FEB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қамсыздандырушы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бухгалтерлік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маркетингтік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есеп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06EBA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8A52F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39D682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8B28B2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бәсекелестік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технологиялар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тұтынушылық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сұраныс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жағдайларының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өзгерістеріне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беру;</w:t>
      </w:r>
    </w:p>
    <w:p w14:paraId="148FF90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5085E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үйлестіру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жақсарады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2E20B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AA346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Кемшіліктері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6A8E2B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80DEF5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әралуан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бірдей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қайталау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салдарынан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шығындардың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жоғарлауы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A3557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A136C6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33B7D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21757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Тұтынушыға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тұтынушылардың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тобы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әскер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азаматтық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салалар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өндірістік-техникалық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мәдени-тұрмыстық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мәндегі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айналасында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топтасады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A3804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7D639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тұтынушылардың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қажеттіліктерін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қанағаттандыру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клиенттер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банктер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қаржылық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63318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B6F405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Дивизионалдық-аймақтық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бірнеше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таралған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органы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керек.</w:t>
      </w:r>
    </w:p>
    <w:p w14:paraId="6604039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0AF50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Артықшылықтары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67BFD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537D6A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әдет-ғұрыптармен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әлеуметтік-экономикалық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орта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заңдылығының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ерекшеліктерімен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жеңілдейді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3290F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0EF6A4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(дивизион)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басқарушылық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персоналын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мүмкіндігі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CE1CB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312F7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дамуы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нарықтарға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шығуы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корпорациялардың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трансұлттық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корпорацияларға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айналуы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салдарынан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содан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дивизионалдық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2F5BF1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B1BD2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тауарлық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B2B0E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38593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C2822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8079B0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аралас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D2863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7330A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тауарлық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әрбіреуі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нарыққа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істейді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1DBC7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D35C7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Ғаламдық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нарық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қарастырылады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8E652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ECB0D3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>Аралас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көңіл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аймақтық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типтің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байланыстарын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жасаумен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сипатталады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C6C9A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B31E67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икемді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органикалық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бюрократиялық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реттеудің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жоқтығы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еңбекті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бөлудің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жоқтығы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икемділігі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шешімдерді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қабылдаудың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орталықсыздануы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нәтижелері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қызметкердің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жауапкершілігі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тән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62B62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9F1B62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тән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8E4D4E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DC93FC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формасын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салыстырмалы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өзгерту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өзгеріп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отыратын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жағдайларға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бейімделу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A040D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E4045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күрделі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бағдарламаларды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күрделі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жедел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886889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C32072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шектеулі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әсері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бағдарламаны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кезеңіне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қалыптасуы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49534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0C00F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органдарын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8EC70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76E8C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Бейімделген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типтегі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жатады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матрицалық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бағдарламалық-мақсаттық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проблемалық-мақсаттық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командалық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проблемалық-топтық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бригадалық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желілік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CE11B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89412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Ол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сұрақтарды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қамтитын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әзірлеу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болғанда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95B2E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EFC8501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командаға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мамандықтары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қызметкерлерді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тартумен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барысын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орталықтан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бойынща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аяқталғаннан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таратылады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ал персонал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ауысады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876FB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ED4F4EE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құруда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матрицалық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анықтайды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AC50C3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71F42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тігінен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AFED68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3390E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көлденең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бағдарламаларды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адами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ресурстары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таратылады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4C1F1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511EA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менеджерлер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орындалуын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менеджерлердің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құқықтары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бөлінеді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жұмысшыларда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біруақытта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бірдей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құқықтарға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пайда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орындаушы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қызметтің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тікелей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басшысына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жоспарланған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мерзіммен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бөлінген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ресурстармен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процесін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өкілеттіктерге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басшысына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бағынады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11C51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C29D5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Матрицалық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сызықтық-функционалдық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құрылымына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қосу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көрсетіледі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1B870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17B849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проблеманы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жобаны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асыру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өзара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әрекеттерін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05B0D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5D3C2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Бақылау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сұрақтары</w:t>
      </w:r>
      <w:proofErr w:type="spellEnd"/>
    </w:p>
    <w:p w14:paraId="1ED8C80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D7DBE8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басқарылатын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бөлімдеріне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бөлімшелер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кіреді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C033E0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36F4520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Ұйымның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етуде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EBB810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52411C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жүйесінің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98BF4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EEE635B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Персоналдың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өнімді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еңбегіне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түрткі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болатын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қағидаларды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атаңыз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6650C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34ECE2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Басшыларды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іріктеу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3705BB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7C3FFF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Басқарудың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әлеуметтік-психологиялық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әдісі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үміттену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мәні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1AFFE6A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7C00E1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Қажеттіліктер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неге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DEA2DB3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E80A95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Адамның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қызметін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ынталандыру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әділеттілік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теориясын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қолдануға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FEAFF2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4C1D5D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Ұжым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мүшелері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жағынан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басшының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шешімдерін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қолдау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дәлелдейді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40F6596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DB8D514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10.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Келіспеушіліктердің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сатыларын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атаңыз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D332D7" w14:textId="77777777" w:rsidR="008A47CC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0821B0" w14:textId="0F521C07" w:rsidR="00CD5A08" w:rsidRPr="008A47CC" w:rsidRDefault="008A47CC" w:rsidP="008A47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Келіспеушіліктерді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басқаруға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47CC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8A47C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459C28A" w14:textId="77777777" w:rsidR="00CD5A08" w:rsidRPr="008A47CC" w:rsidRDefault="00CD5A08">
      <w:pPr>
        <w:rPr>
          <w:lang w:val="ru-RU"/>
        </w:rPr>
      </w:pPr>
    </w:p>
    <w:p w14:paraId="1C73E6C3" w14:textId="77777777" w:rsidR="00CD5A08" w:rsidRPr="008A47CC" w:rsidRDefault="00CD5A08">
      <w:pPr>
        <w:rPr>
          <w:lang w:val="ru-RU"/>
        </w:rPr>
      </w:pPr>
    </w:p>
    <w:p w14:paraId="1CE23EC6" w14:textId="77777777" w:rsidR="00CD5A08" w:rsidRDefault="00CD5A08" w:rsidP="00CD5A08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2E8EE8B4" w14:textId="77777777" w:rsidR="00CD5A08" w:rsidRDefault="00CD5A08" w:rsidP="00CD5A0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3B8212C3" w14:textId="77777777" w:rsidR="00CD5A08" w:rsidRDefault="00CD5A08" w:rsidP="00CD5A0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816A6B9" w14:textId="77777777" w:rsidR="00CD5A08" w:rsidRDefault="00CD5A08" w:rsidP="00C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6806BF8D" w14:textId="77777777" w:rsidR="00CD5A08" w:rsidRDefault="00CD5A08" w:rsidP="00C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5EF74D6" w14:textId="77777777" w:rsidR="00CD5A08" w:rsidRDefault="00CD5A08" w:rsidP="00C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E62362C" w14:textId="77777777" w:rsidR="00CD5A08" w:rsidRDefault="00CD5A08" w:rsidP="00C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8C4F634" w14:textId="77777777" w:rsidR="00CD5A08" w:rsidRDefault="00CD5A08" w:rsidP="00CD5A0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725CF8F" w14:textId="77777777" w:rsidR="00CD5A08" w:rsidRDefault="00CD5A08" w:rsidP="00CD5A0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09849EF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7D593D5F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639466C3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4F372D6B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2D62EE7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1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1"/>
    <w:p w14:paraId="3DD1FCE7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3BE01178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1E0B037C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7916C30" w14:textId="77777777" w:rsidR="00CD5A08" w:rsidRDefault="00CD5A08" w:rsidP="00CD5A08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10F03380" w14:textId="77777777" w:rsidR="00CD5A08" w:rsidRDefault="00CD5A08" w:rsidP="00CD5A08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9F4629B" w14:textId="77777777" w:rsidR="00CD5A08" w:rsidRDefault="00CD5A08" w:rsidP="00CD5A08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5F77BB7C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F606276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FADF73F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FF3166F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BB0858E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E005B45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EBA593B" w14:textId="77777777" w:rsidR="00CD5A08" w:rsidRDefault="00CD5A08" w:rsidP="00CD5A08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DFE0D50" w14:textId="77777777" w:rsidR="00CD5A08" w:rsidRPr="008A47CC" w:rsidRDefault="00CD5A08" w:rsidP="00CD5A08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1651B106" w14:textId="77777777" w:rsidR="00CD5A08" w:rsidRDefault="00CD5A08" w:rsidP="00CD5A08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700E980" w14:textId="77777777" w:rsidR="00CD5A08" w:rsidRDefault="00CD5A08" w:rsidP="00CD5A08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590AC7CA" w14:textId="77777777" w:rsidR="00CD5A08" w:rsidRDefault="00CD5A08" w:rsidP="00CD5A08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lastRenderedPageBreak/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0D9F66A1" w14:textId="77777777" w:rsidR="00CD5A08" w:rsidRDefault="00CD5A08" w:rsidP="00CD5A08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3730E496" w14:textId="77777777" w:rsidR="00CD5A08" w:rsidRDefault="00CD5A08" w:rsidP="00CD5A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BE2DE0" w14:textId="77777777" w:rsidR="00CD5A08" w:rsidRDefault="00CD5A08" w:rsidP="00CD5A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FF2CCFB" w14:textId="77777777" w:rsidR="00CD5A08" w:rsidRDefault="00CD5A08" w:rsidP="00CD5A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0AE9485" w14:textId="77777777" w:rsidR="00CD5A08" w:rsidRDefault="00CD5A08" w:rsidP="00CD5A08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6095180" w14:textId="77777777" w:rsidR="00CD5A08" w:rsidRDefault="00CD5A08"/>
    <w:sectPr w:rsidR="00CD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053E2"/>
    <w:multiLevelType w:val="hybridMultilevel"/>
    <w:tmpl w:val="E90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89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86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A"/>
    <w:rsid w:val="001632AF"/>
    <w:rsid w:val="005027EA"/>
    <w:rsid w:val="008A47CC"/>
    <w:rsid w:val="00C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340D"/>
  <w15:chartTrackingRefBased/>
  <w15:docId w15:val="{838CBB59-B6B5-444A-BF5B-BDF06CE6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08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3633</Words>
  <Characters>20713</Characters>
  <Application>Microsoft Office Word</Application>
  <DocSecurity>0</DocSecurity>
  <Lines>172</Lines>
  <Paragraphs>48</Paragraphs>
  <ScaleCrop>false</ScaleCrop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2023-09-20T11:40:00Z</dcterms:created>
  <dcterms:modified xsi:type="dcterms:W3CDTF">2023-09-20T12:45:00Z</dcterms:modified>
</cp:coreProperties>
</file>